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6EE42" w14:textId="77777777" w:rsidR="004064CB" w:rsidRPr="00D5624C" w:rsidRDefault="004064CB" w:rsidP="004064CB">
      <w:pPr>
        <w:jc w:val="center"/>
        <w:rPr>
          <w:rFonts w:eastAsia="標楷體"/>
          <w:sz w:val="28"/>
          <w:szCs w:val="28"/>
        </w:rPr>
      </w:pPr>
      <w:r w:rsidRPr="00D5624C">
        <w:rPr>
          <w:rFonts w:eastAsia="標楷體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203251" wp14:editId="50373606">
                <wp:simplePos x="0" y="0"/>
                <wp:positionH relativeFrom="leftMargin">
                  <wp:posOffset>266700</wp:posOffset>
                </wp:positionH>
                <wp:positionV relativeFrom="paragraph">
                  <wp:posOffset>93345</wp:posOffset>
                </wp:positionV>
                <wp:extent cx="742315" cy="373380"/>
                <wp:effectExtent l="0" t="0" r="19685" b="26670"/>
                <wp:wrapSquare wrapText="bothSides"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315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D488C" w14:textId="77777777" w:rsidR="004064CB" w:rsidRPr="00807AAD" w:rsidRDefault="004064CB" w:rsidP="004064CB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7AAD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203251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1pt;margin-top:7.35pt;width:58.45pt;height:29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3bOAIAAEcEAAAOAAAAZHJzL2Uyb0RvYy54bWysU12O0zAQfkfiDpbfadq0pd2o6WrpUoS0&#10;/EgLB3Acp7FwPMZ2m5QLIHGA5ZkDcAAOtHsOxk63VAu8IPxgeTzjzzPfN7M47xpFdsI6CTqno8GQ&#10;EqE5lFJvcvr+3frJnBLnmS6ZAi1yuheOni8fP1q0JhMp1KBKYQmCaJe1Jqe19yZLEsdr0TA3ACM0&#10;OiuwDfNo2k1SWtYieqOSdDh8mrRgS2OBC+fw9rJ30mXEryrB/ZuqcsITlVPMzcfdxr0Ie7JcsGxj&#10;maklP6TB/iGLhkmNnx6hLplnZGvlb1CN5BYcVH7AoUmgqiQXsQasZjR8UM11zYyItSA5zhxpcv8P&#10;lr/evbVEljmdUKJZgxLd3Xy+/f717ubH7bcvJA0MtcZlGHhtMNR3z6BDpWO1zlwB/+CIhlXN9EZc&#10;WAttLViJGY7Cy+TkaY/jAkjRvoISv2JbDxGoq2wT6ENCCKKjUvujOqLzhOPlbJKOR1NKOLrGs/F4&#10;HtVLWHb/2FjnXwhoSDjk1KL4EZztrpwPybDsPiT85UDJci2ViobdFCtlyY5ho6zjivk/CFOatDk9&#10;m6bTvv6/Qgzj+hNEIz12vJJNTufHIJYF1p7rMvajZ1L1Z0xZ6QONgbmeQ98V3UGWAso9Emqh72yc&#10;RDzUYD9R0mJX59R93DIrKFEvNYpyNppMwhhEYzKdpWjYU09x6mGaI1ROPSX9ceXj6ATCNFygeJWM&#10;xAaV+0wOuWK3Rr4PkxXG4dSOUb/mf/kTAAD//wMAUEsDBBQABgAIAAAAIQCHn4nd3wAAAAgBAAAP&#10;AAAAZHJzL2Rvd25yZXYueG1sTI/BTsMwEETvlfgHaytxqahDmzZpGqdCSCC4QUFwdeNtEmGvg+2m&#10;4e9xT3CcndXMm3I3Gs0GdL6zJOB2ngBDqq3qqBHw/vZwkwPzQZKS2hIK+EEPu+pqUspC2TO94rAP&#10;DYsh5AspoA2hLzj3dYtG+rntkaJ3tM7IEKVruHLyHMON5oskWXMjO4oNrezxvsX6a38yAvL0afj0&#10;z8uXj3p91Jswy4bHbyfE9XS82wILOIa/Z7jgR3SoItPBnkh5pgWkizglxHuaAbv4q3wD7CAgW66A&#10;VyX/P6D6BQAA//8DAFBLAQItABQABgAIAAAAIQC2gziS/gAAAOEBAAATAAAAAAAAAAAAAAAAAAAA&#10;AABbQ29udGVudF9UeXBlc10ueG1sUEsBAi0AFAAGAAgAAAAhADj9If/WAAAAlAEAAAsAAAAAAAAA&#10;AAAAAAAALwEAAF9yZWxzLy5yZWxzUEsBAi0AFAAGAAgAAAAhAK6Yzds4AgAARwQAAA4AAAAAAAAA&#10;AAAAAAAALgIAAGRycy9lMm9Eb2MueG1sUEsBAi0AFAAGAAgAAAAhAIefid3fAAAACAEAAA8AAAAA&#10;AAAAAAAAAAAAkgQAAGRycy9kb3ducmV2LnhtbFBLBQYAAAAABAAEAPMAAACeBQAAAAA=&#10;">
                <v:textbox>
                  <w:txbxContent>
                    <w:p w14:paraId="16FD488C" w14:textId="77777777" w:rsidR="004064CB" w:rsidRPr="00807AAD" w:rsidRDefault="004064CB" w:rsidP="004064CB">
                      <w:pPr>
                        <w:rPr>
                          <w:rFonts w:ascii="標楷體" w:eastAsia="標楷體" w:hAnsi="標楷體"/>
                        </w:rPr>
                      </w:pPr>
                      <w:r w:rsidRPr="00807AAD">
                        <w:rPr>
                          <w:rFonts w:ascii="標楷體" w:eastAsia="標楷體" w:hAnsi="標楷體" w:hint="eastAsia"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</w:rPr>
                        <w:t>二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5624C">
        <w:rPr>
          <w:rFonts w:eastAsia="標楷體"/>
          <w:sz w:val="28"/>
          <w:szCs w:val="28"/>
        </w:rPr>
        <w:t>亞洲大學</w:t>
      </w:r>
      <w:r w:rsidRPr="00D5624C">
        <w:rPr>
          <w:rFonts w:eastAsia="標楷體"/>
          <w:sz w:val="28"/>
          <w:szCs w:val="28"/>
        </w:rPr>
        <w:t xml:space="preserve"> </w:t>
      </w:r>
      <w:r w:rsidRPr="00D5624C">
        <w:rPr>
          <w:rFonts w:eastAsia="標楷體"/>
          <w:sz w:val="28"/>
          <w:szCs w:val="28"/>
        </w:rPr>
        <w:t>教師公開授課</w:t>
      </w:r>
      <w:r w:rsidRPr="00D5624C">
        <w:rPr>
          <w:rFonts w:eastAsia="標楷體"/>
          <w:sz w:val="28"/>
          <w:szCs w:val="28"/>
        </w:rPr>
        <w:t>/</w:t>
      </w:r>
      <w:r w:rsidRPr="00D5624C">
        <w:rPr>
          <w:rFonts w:eastAsia="標楷體"/>
          <w:sz w:val="28"/>
          <w:szCs w:val="28"/>
        </w:rPr>
        <w:t>教學觀摩</w:t>
      </w:r>
      <w:r w:rsidRPr="00D5624C">
        <w:rPr>
          <w:rFonts w:eastAsia="標楷體"/>
          <w:sz w:val="28"/>
          <w:szCs w:val="28"/>
        </w:rPr>
        <w:t xml:space="preserve"> </w:t>
      </w:r>
      <w:r w:rsidRPr="00D5624C">
        <w:rPr>
          <w:rFonts w:eastAsia="標楷體"/>
          <w:sz w:val="28"/>
          <w:szCs w:val="28"/>
        </w:rPr>
        <w:t>說課表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1358"/>
        <w:gridCol w:w="2439"/>
        <w:gridCol w:w="1316"/>
        <w:gridCol w:w="3046"/>
      </w:tblGrid>
      <w:tr w:rsidR="004064CB" w:rsidRPr="00D5624C" w14:paraId="255ADC35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6E3F3875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學院</w:t>
            </w:r>
            <w:r w:rsidRPr="00D5624C">
              <w:rPr>
                <w:rFonts w:eastAsia="標楷體"/>
              </w:rPr>
              <w:t>/</w:t>
            </w:r>
            <w:r w:rsidRPr="00D5624C">
              <w:rPr>
                <w:rFonts w:eastAsia="標楷體"/>
              </w:rPr>
              <w:t>中心</w:t>
            </w:r>
          </w:p>
        </w:tc>
        <w:tc>
          <w:tcPr>
            <w:tcW w:w="2590" w:type="dxa"/>
            <w:vAlign w:val="center"/>
          </w:tcPr>
          <w:p w14:paraId="0A65E295" w14:textId="1E22EFE0" w:rsidR="004064CB" w:rsidRPr="00D5624C" w:rsidRDefault="00FF5BCC" w:rsidP="006305B2">
            <w:pPr>
              <w:jc w:val="both"/>
              <w:rPr>
                <w:rFonts w:eastAsia="標楷體"/>
              </w:rPr>
            </w:pPr>
            <w:r>
              <w:rPr>
                <w:rFonts w:ascii="標楷體-繁" w:eastAsia="標楷體-繁" w:hAnsi="標楷體-繁" w:hint="eastAsia"/>
              </w:rPr>
              <w:t>醫學暨健康學院</w:t>
            </w:r>
          </w:p>
        </w:tc>
        <w:tc>
          <w:tcPr>
            <w:tcW w:w="1379" w:type="dxa"/>
            <w:vAlign w:val="center"/>
          </w:tcPr>
          <w:p w14:paraId="01B22E32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學系</w:t>
            </w:r>
          </w:p>
        </w:tc>
        <w:tc>
          <w:tcPr>
            <w:tcW w:w="3260" w:type="dxa"/>
            <w:vAlign w:val="center"/>
          </w:tcPr>
          <w:p w14:paraId="2BA2F341" w14:textId="50A0DF60" w:rsidR="004064CB" w:rsidRPr="00D5624C" w:rsidRDefault="00FF5BCC" w:rsidP="006305B2">
            <w:pPr>
              <w:jc w:val="both"/>
              <w:rPr>
                <w:rFonts w:eastAsia="標楷體"/>
              </w:rPr>
            </w:pPr>
            <w:bookmarkStart w:id="0" w:name="_Hlk179313207"/>
            <w:r>
              <w:rPr>
                <w:rFonts w:ascii="標楷體-繁" w:eastAsia="標楷體-繁" w:hAnsi="標楷體-繁" w:hint="eastAsia"/>
              </w:rPr>
              <w:t>醫學檢驗暨生物技術學系</w:t>
            </w:r>
            <w:bookmarkEnd w:id="0"/>
          </w:p>
        </w:tc>
      </w:tr>
      <w:tr w:rsidR="004064CB" w:rsidRPr="00D5624C" w14:paraId="4B97857C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29BEB4B2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授課教師</w:t>
            </w:r>
          </w:p>
        </w:tc>
        <w:tc>
          <w:tcPr>
            <w:tcW w:w="2590" w:type="dxa"/>
            <w:vAlign w:val="center"/>
          </w:tcPr>
          <w:p w14:paraId="1426E988" w14:textId="4A0DD2E1" w:rsidR="004064CB" w:rsidRPr="00D5624C" w:rsidRDefault="00FF5BCC" w:rsidP="006305B2">
            <w:pPr>
              <w:jc w:val="both"/>
              <w:rPr>
                <w:rFonts w:eastAsia="標楷體"/>
              </w:rPr>
            </w:pPr>
            <w:r w:rsidRPr="00FF5BCC">
              <w:rPr>
                <w:rFonts w:eastAsia="標楷體" w:hint="eastAsia"/>
              </w:rPr>
              <w:t>陳世順</w:t>
            </w:r>
          </w:p>
        </w:tc>
        <w:tc>
          <w:tcPr>
            <w:tcW w:w="1379" w:type="dxa"/>
            <w:vAlign w:val="center"/>
          </w:tcPr>
          <w:p w14:paraId="33D9CA38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授課科目</w:t>
            </w:r>
          </w:p>
        </w:tc>
        <w:tc>
          <w:tcPr>
            <w:tcW w:w="3260" w:type="dxa"/>
            <w:vAlign w:val="center"/>
          </w:tcPr>
          <w:p w14:paraId="452F8895" w14:textId="51ED1A0F" w:rsidR="004064CB" w:rsidRPr="00D5624C" w:rsidRDefault="00FF5BCC" w:rsidP="006305B2">
            <w:pPr>
              <w:jc w:val="both"/>
              <w:rPr>
                <w:rFonts w:eastAsia="標楷體"/>
              </w:rPr>
            </w:pPr>
            <w:r>
              <w:rPr>
                <w:rFonts w:ascii="標楷體-繁" w:eastAsia="標楷體-繁" w:hAnsi="標楷體-繁" w:hint="eastAsia"/>
              </w:rPr>
              <w:t>血</w:t>
            </w:r>
            <w:r w:rsidR="00ED1A88">
              <w:rPr>
                <w:rFonts w:ascii="標楷體-繁" w:eastAsia="標楷體-繁" w:hAnsi="標楷體-繁" w:hint="eastAsia"/>
              </w:rPr>
              <w:t>液</w:t>
            </w:r>
            <w:r>
              <w:rPr>
                <w:rFonts w:ascii="標楷體-繁" w:eastAsia="標楷體-繁" w:hAnsi="標楷體-繁" w:hint="eastAsia"/>
              </w:rPr>
              <w:t>學</w:t>
            </w:r>
          </w:p>
        </w:tc>
      </w:tr>
      <w:tr w:rsidR="004064CB" w:rsidRPr="00D5624C" w14:paraId="231FFCD6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0EE8B938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授課班級</w:t>
            </w:r>
          </w:p>
        </w:tc>
        <w:tc>
          <w:tcPr>
            <w:tcW w:w="7229" w:type="dxa"/>
            <w:gridSpan w:val="3"/>
            <w:vAlign w:val="center"/>
          </w:tcPr>
          <w:p w14:paraId="111664A6" w14:textId="23191F35" w:rsidR="004064CB" w:rsidRPr="00B453EC" w:rsidRDefault="00FF5BCC" w:rsidP="006305B2">
            <w:pPr>
              <w:jc w:val="both"/>
              <w:rPr>
                <w:rFonts w:eastAsia="標楷體"/>
              </w:rPr>
            </w:pPr>
            <w:r w:rsidRPr="00B453EC">
              <w:rPr>
                <w:rFonts w:eastAsia="標楷體-繁"/>
              </w:rPr>
              <w:t>醫技系</w:t>
            </w:r>
            <w:r w:rsidR="00860388">
              <w:rPr>
                <w:rFonts w:eastAsia="標楷體-繁"/>
              </w:rPr>
              <w:t>2B</w:t>
            </w:r>
          </w:p>
        </w:tc>
      </w:tr>
      <w:tr w:rsidR="004064CB" w:rsidRPr="00D5624C" w14:paraId="7B7D0B7B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1D3370FD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授課時間</w:t>
            </w:r>
          </w:p>
        </w:tc>
        <w:tc>
          <w:tcPr>
            <w:tcW w:w="7229" w:type="dxa"/>
            <w:gridSpan w:val="3"/>
            <w:vAlign w:val="center"/>
          </w:tcPr>
          <w:p w14:paraId="59826C2E" w14:textId="3F880BC2" w:rsidR="004064CB" w:rsidRPr="00B453EC" w:rsidRDefault="00FF5BCC" w:rsidP="006305B2">
            <w:pPr>
              <w:jc w:val="both"/>
              <w:rPr>
                <w:rFonts w:eastAsia="標楷體"/>
              </w:rPr>
            </w:pPr>
            <w:r w:rsidRPr="00B453EC">
              <w:rPr>
                <w:rFonts w:eastAsia="標楷體-繁"/>
              </w:rPr>
              <w:t>11</w:t>
            </w:r>
            <w:r w:rsidR="00860388">
              <w:rPr>
                <w:rFonts w:eastAsia="標楷體-繁"/>
              </w:rPr>
              <w:t>5</w:t>
            </w:r>
            <w:r w:rsidRPr="00B453EC">
              <w:rPr>
                <w:rFonts w:eastAsia="標楷體-繁"/>
              </w:rPr>
              <w:t>年</w:t>
            </w:r>
            <w:r w:rsidR="00860388">
              <w:rPr>
                <w:rFonts w:eastAsia="標楷體-繁"/>
              </w:rPr>
              <w:t>3</w:t>
            </w:r>
            <w:r w:rsidRPr="00B453EC">
              <w:rPr>
                <w:rFonts w:eastAsia="標楷體-繁"/>
              </w:rPr>
              <w:t>月</w:t>
            </w:r>
            <w:r w:rsidR="00860388">
              <w:rPr>
                <w:rFonts w:eastAsia="標楷體-繁"/>
              </w:rPr>
              <w:t>11</w:t>
            </w:r>
            <w:r w:rsidRPr="00B453EC">
              <w:rPr>
                <w:rFonts w:eastAsia="標楷體-繁"/>
              </w:rPr>
              <w:t>日</w:t>
            </w:r>
            <w:r w:rsidRPr="00B453EC">
              <w:rPr>
                <w:rFonts w:eastAsia="標楷體-繁"/>
              </w:rPr>
              <w:t xml:space="preserve"> </w:t>
            </w:r>
            <w:r w:rsidRPr="00B453EC">
              <w:rPr>
                <w:rFonts w:eastAsia="標楷體-繁"/>
              </w:rPr>
              <w:t>第</w:t>
            </w:r>
            <w:r w:rsidR="00860388">
              <w:rPr>
                <w:rFonts w:eastAsia="標楷體-繁"/>
              </w:rPr>
              <w:t>1</w:t>
            </w:r>
            <w:r w:rsidRPr="00B453EC">
              <w:rPr>
                <w:rFonts w:eastAsia="標楷體-繁"/>
              </w:rPr>
              <w:t>-</w:t>
            </w:r>
            <w:r w:rsidR="00860388">
              <w:rPr>
                <w:rFonts w:eastAsia="標楷體-繁"/>
              </w:rPr>
              <w:t>2</w:t>
            </w:r>
            <w:r w:rsidRPr="00B453EC">
              <w:rPr>
                <w:rFonts w:eastAsia="標楷體-繁"/>
              </w:rPr>
              <w:t>節</w:t>
            </w:r>
          </w:p>
        </w:tc>
      </w:tr>
      <w:tr w:rsidR="004064CB" w:rsidRPr="00D5624C" w14:paraId="6AF2162D" w14:textId="77777777" w:rsidTr="006305B2">
        <w:trPr>
          <w:trHeight w:val="567"/>
        </w:trPr>
        <w:tc>
          <w:tcPr>
            <w:tcW w:w="1418" w:type="dxa"/>
            <w:vAlign w:val="center"/>
          </w:tcPr>
          <w:p w14:paraId="072E67AC" w14:textId="77777777" w:rsidR="004064CB" w:rsidRPr="00D5624C" w:rsidRDefault="004064CB" w:rsidP="006305B2">
            <w:pPr>
              <w:jc w:val="both"/>
              <w:rPr>
                <w:rFonts w:eastAsia="標楷體"/>
              </w:rPr>
            </w:pPr>
            <w:r w:rsidRPr="00D5624C">
              <w:rPr>
                <w:rFonts w:eastAsia="標楷體"/>
              </w:rPr>
              <w:t>授課地點</w:t>
            </w:r>
          </w:p>
        </w:tc>
        <w:tc>
          <w:tcPr>
            <w:tcW w:w="7229" w:type="dxa"/>
            <w:gridSpan w:val="3"/>
            <w:vAlign w:val="center"/>
          </w:tcPr>
          <w:p w14:paraId="1A4BD9E0" w14:textId="1B365282" w:rsidR="004064CB" w:rsidRPr="00B453EC" w:rsidRDefault="00FF5BCC" w:rsidP="006305B2">
            <w:pPr>
              <w:jc w:val="both"/>
              <w:rPr>
                <w:rFonts w:eastAsia="標楷體"/>
              </w:rPr>
            </w:pPr>
            <w:r w:rsidRPr="00B453EC">
              <w:rPr>
                <w:rFonts w:eastAsia="標楷體-繁"/>
              </w:rPr>
              <w:t>I</w:t>
            </w:r>
            <w:r w:rsidR="00860388">
              <w:rPr>
                <w:rFonts w:eastAsia="標楷體-繁"/>
              </w:rPr>
              <w:t>311</w:t>
            </w:r>
          </w:p>
        </w:tc>
      </w:tr>
      <w:tr w:rsidR="004064CB" w:rsidRPr="00D5624C" w14:paraId="7B2C8678" w14:textId="77777777" w:rsidTr="006305B2">
        <w:trPr>
          <w:trHeight w:val="567"/>
        </w:trPr>
        <w:tc>
          <w:tcPr>
            <w:tcW w:w="8647" w:type="dxa"/>
            <w:gridSpan w:val="4"/>
            <w:vAlign w:val="center"/>
          </w:tcPr>
          <w:p w14:paraId="6449B834" w14:textId="77777777" w:rsidR="004064CB" w:rsidRPr="00D5624C" w:rsidRDefault="004064CB" w:rsidP="006305B2">
            <w:pPr>
              <w:jc w:val="center"/>
              <w:rPr>
                <w:rFonts w:eastAsia="標楷體"/>
              </w:rPr>
            </w:pPr>
            <w:r w:rsidRPr="00D5624C">
              <w:rPr>
                <w:rFonts w:eastAsia="標楷體"/>
              </w:rPr>
              <w:t>課程說明</w:t>
            </w:r>
          </w:p>
        </w:tc>
      </w:tr>
      <w:tr w:rsidR="004064CB" w:rsidRPr="00D5624C" w14:paraId="1A40FC6A" w14:textId="77777777" w:rsidTr="006305B2">
        <w:trPr>
          <w:trHeight w:val="8678"/>
        </w:trPr>
        <w:tc>
          <w:tcPr>
            <w:tcW w:w="8647" w:type="dxa"/>
            <w:gridSpan w:val="4"/>
          </w:tcPr>
          <w:p w14:paraId="7C2E2A24" w14:textId="4233D0F6" w:rsidR="004064CB" w:rsidRPr="008D044E" w:rsidRDefault="004064CB" w:rsidP="006305B2">
            <w:pPr>
              <w:pStyle w:val="a4"/>
              <w:numPr>
                <w:ilvl w:val="0"/>
                <w:numId w:val="1"/>
              </w:numPr>
              <w:ind w:leftChars="0" w:left="960"/>
              <w:contextualSpacing/>
              <w:jc w:val="both"/>
              <w:rPr>
                <w:rFonts w:eastAsia="標楷體"/>
                <w:szCs w:val="20"/>
              </w:rPr>
            </w:pPr>
            <w:bookmarkStart w:id="1" w:name="_Hlk179313251"/>
            <w:r w:rsidRPr="008D044E">
              <w:rPr>
                <w:rFonts w:eastAsia="標楷體"/>
                <w:szCs w:val="20"/>
              </w:rPr>
              <w:t>單元學習目標</w:t>
            </w:r>
            <w:bookmarkEnd w:id="1"/>
          </w:p>
          <w:p w14:paraId="58E44B07" w14:textId="6A1EBC5E" w:rsidR="00504387" w:rsidRPr="008D044E" w:rsidRDefault="00504387" w:rsidP="00504387">
            <w:pPr>
              <w:ind w:left="240"/>
              <w:contextualSpacing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造血生長因子</w:t>
            </w:r>
            <w:r w:rsidRPr="008D044E">
              <w:rPr>
                <w:rFonts w:eastAsia="標楷體" w:hint="eastAsia"/>
                <w:szCs w:val="20"/>
              </w:rPr>
              <w:t>與血球生成</w:t>
            </w:r>
          </w:p>
          <w:p w14:paraId="1FAC16D7" w14:textId="18B08088" w:rsidR="006C3A42" w:rsidRPr="008D044E" w:rsidRDefault="00860388" w:rsidP="00860388">
            <w:pPr>
              <w:pStyle w:val="a4"/>
              <w:numPr>
                <w:ilvl w:val="0"/>
                <w:numId w:val="5"/>
              </w:numPr>
              <w:ind w:leftChars="0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理解造血生長因子的種類與生理功能</w:t>
            </w:r>
          </w:p>
          <w:p w14:paraId="463F9C86" w14:textId="50839C10" w:rsidR="00860388" w:rsidRPr="008D044E" w:rsidRDefault="00504387" w:rsidP="00504387">
            <w:pPr>
              <w:pStyle w:val="a4"/>
              <w:numPr>
                <w:ilvl w:val="0"/>
                <w:numId w:val="6"/>
              </w:numPr>
              <w:ind w:leftChars="0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說明造血作用（</w:t>
            </w:r>
            <w:r w:rsidRPr="008D044E">
              <w:rPr>
                <w:rFonts w:eastAsia="標楷體"/>
                <w:szCs w:val="20"/>
              </w:rPr>
              <w:t>hematopoiesis</w:t>
            </w:r>
            <w:r w:rsidRPr="008D044E">
              <w:rPr>
                <w:rFonts w:eastAsia="標楷體"/>
                <w:szCs w:val="20"/>
              </w:rPr>
              <w:t>）的基本過程與調控機制。</w:t>
            </w:r>
          </w:p>
          <w:p w14:paraId="7A2DF7AD" w14:textId="04C34FA6" w:rsidR="00504387" w:rsidRPr="008D044E" w:rsidRDefault="00504387" w:rsidP="00504387">
            <w:pPr>
              <w:pStyle w:val="a4"/>
              <w:numPr>
                <w:ilvl w:val="0"/>
                <w:numId w:val="6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辨識主要造血生長因子，包括：</w:t>
            </w:r>
          </w:p>
          <w:p w14:paraId="53D3340C" w14:textId="3246B539" w:rsidR="00504387" w:rsidRPr="008D044E" w:rsidRDefault="00504387" w:rsidP="00504387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Erythropoietin</w:t>
            </w:r>
            <w:r w:rsidRPr="008D044E">
              <w:rPr>
                <w:rFonts w:eastAsia="標楷體"/>
                <w:szCs w:val="20"/>
              </w:rPr>
              <w:t>（</w:t>
            </w:r>
            <w:r w:rsidRPr="008D044E">
              <w:rPr>
                <w:rFonts w:eastAsia="標楷體"/>
                <w:szCs w:val="20"/>
              </w:rPr>
              <w:t>EPO</w:t>
            </w:r>
            <w:r w:rsidRPr="008D044E">
              <w:rPr>
                <w:rFonts w:eastAsia="標楷體"/>
                <w:szCs w:val="20"/>
              </w:rPr>
              <w:t>）</w:t>
            </w:r>
          </w:p>
          <w:p w14:paraId="72729EE5" w14:textId="1D295F5D" w:rsidR="00504387" w:rsidRPr="008D044E" w:rsidRDefault="00504387" w:rsidP="00504387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Granulocyte colony-stimulating factor</w:t>
            </w:r>
            <w:r w:rsidRPr="008D044E">
              <w:rPr>
                <w:rFonts w:eastAsia="標楷體"/>
                <w:szCs w:val="20"/>
              </w:rPr>
              <w:t>（</w:t>
            </w:r>
            <w:r w:rsidRPr="008D044E">
              <w:rPr>
                <w:rFonts w:eastAsia="標楷體"/>
                <w:szCs w:val="20"/>
              </w:rPr>
              <w:t>G-CSF</w:t>
            </w:r>
            <w:r w:rsidRPr="008D044E">
              <w:rPr>
                <w:rFonts w:eastAsia="標楷體"/>
                <w:szCs w:val="20"/>
              </w:rPr>
              <w:t>）</w:t>
            </w:r>
          </w:p>
          <w:p w14:paraId="573C291B" w14:textId="39947892" w:rsidR="00504387" w:rsidRPr="008D044E" w:rsidRDefault="00504387" w:rsidP="00504387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Granulocyte-macrophage colony-stimulating factor</w:t>
            </w:r>
            <w:r w:rsidRPr="008D044E">
              <w:rPr>
                <w:rFonts w:eastAsia="標楷體"/>
                <w:szCs w:val="20"/>
              </w:rPr>
              <w:t>（</w:t>
            </w:r>
            <w:r w:rsidRPr="008D044E">
              <w:rPr>
                <w:rFonts w:eastAsia="標楷體"/>
                <w:szCs w:val="20"/>
              </w:rPr>
              <w:t>GM-CSF</w:t>
            </w:r>
            <w:r w:rsidRPr="008D044E">
              <w:rPr>
                <w:rFonts w:eastAsia="標楷體"/>
                <w:szCs w:val="20"/>
              </w:rPr>
              <w:t>）</w:t>
            </w:r>
          </w:p>
          <w:p w14:paraId="0FE24339" w14:textId="22C2AB45" w:rsidR="00504387" w:rsidRPr="008D044E" w:rsidRDefault="00504387" w:rsidP="00504387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Thrombopoietin</w:t>
            </w:r>
            <w:r w:rsidRPr="008D044E">
              <w:rPr>
                <w:rFonts w:eastAsia="標楷體"/>
                <w:szCs w:val="20"/>
              </w:rPr>
              <w:t>（</w:t>
            </w:r>
            <w:r w:rsidRPr="008D044E">
              <w:rPr>
                <w:rFonts w:eastAsia="標楷體"/>
                <w:szCs w:val="20"/>
              </w:rPr>
              <w:t>TPO</w:t>
            </w:r>
            <w:r w:rsidRPr="008D044E">
              <w:rPr>
                <w:rFonts w:eastAsia="標楷體"/>
                <w:szCs w:val="20"/>
              </w:rPr>
              <w:t>）</w:t>
            </w:r>
          </w:p>
          <w:p w14:paraId="21314BDD" w14:textId="0CB02043" w:rsidR="00504387" w:rsidRPr="008D044E" w:rsidRDefault="00504387" w:rsidP="00504387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相關介白素（如</w:t>
            </w:r>
            <w:r w:rsidRPr="008D044E">
              <w:rPr>
                <w:rFonts w:eastAsia="標楷體"/>
                <w:szCs w:val="20"/>
              </w:rPr>
              <w:t xml:space="preserve"> IL-2</w:t>
            </w:r>
            <w:r w:rsidRPr="008D044E">
              <w:rPr>
                <w:rFonts w:eastAsia="標楷體"/>
                <w:szCs w:val="20"/>
              </w:rPr>
              <w:t>、</w:t>
            </w:r>
            <w:r w:rsidRPr="008D044E">
              <w:rPr>
                <w:rFonts w:eastAsia="標楷體"/>
                <w:szCs w:val="20"/>
              </w:rPr>
              <w:t>IL-4</w:t>
            </w:r>
            <w:r w:rsidRPr="008D044E">
              <w:rPr>
                <w:rFonts w:eastAsia="標楷體"/>
                <w:szCs w:val="20"/>
              </w:rPr>
              <w:t>、</w:t>
            </w:r>
            <w:r w:rsidRPr="008D044E">
              <w:rPr>
                <w:rFonts w:eastAsia="標楷體"/>
                <w:szCs w:val="20"/>
              </w:rPr>
              <w:t>IL-11</w:t>
            </w:r>
            <w:r w:rsidRPr="008D044E">
              <w:rPr>
                <w:rFonts w:eastAsia="標楷體"/>
                <w:szCs w:val="20"/>
              </w:rPr>
              <w:t>）</w:t>
            </w:r>
          </w:p>
          <w:p w14:paraId="2545E087" w14:textId="6B041DC3" w:rsidR="00504387" w:rsidRPr="008D044E" w:rsidRDefault="00504387" w:rsidP="00504387">
            <w:pPr>
              <w:pStyle w:val="a4"/>
              <w:numPr>
                <w:ilvl w:val="0"/>
                <w:numId w:val="6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說明各生長因子對不同血球分化與增殖的影響。</w:t>
            </w:r>
          </w:p>
          <w:p w14:paraId="1E4B914F" w14:textId="17F6B0F6" w:rsidR="00860388" w:rsidRPr="008D044E" w:rsidRDefault="00860388" w:rsidP="00860388">
            <w:pPr>
              <w:pStyle w:val="a4"/>
              <w:numPr>
                <w:ilvl w:val="0"/>
                <w:numId w:val="5"/>
              </w:numPr>
              <w:ind w:leftChars="0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說明各類血球的成熟過程與形態變化</w:t>
            </w:r>
          </w:p>
          <w:p w14:paraId="6DEF8F3A" w14:textId="144E4A1E" w:rsidR="00504387" w:rsidRPr="008D044E" w:rsidRDefault="00504387" w:rsidP="00504387">
            <w:pPr>
              <w:pStyle w:val="a4"/>
              <w:numPr>
                <w:ilvl w:val="0"/>
                <w:numId w:val="8"/>
              </w:numPr>
              <w:ind w:leftChars="0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描述骨髓中紅血球、白血球與血小板的發育階段。</w:t>
            </w:r>
          </w:p>
          <w:p w14:paraId="0204FC43" w14:textId="423B9E96" w:rsidR="00504387" w:rsidRPr="008D044E" w:rsidRDefault="00504387" w:rsidP="00504387">
            <w:pPr>
              <w:pStyle w:val="a4"/>
              <w:numPr>
                <w:ilvl w:val="0"/>
                <w:numId w:val="8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辨識不同成熟階段細胞的形態特徵（細胞大小、細胞核型態、染色質變化、胞質顆粒等）。</w:t>
            </w:r>
          </w:p>
          <w:p w14:paraId="043FA940" w14:textId="5515D907" w:rsidR="00504387" w:rsidRPr="008D044E" w:rsidRDefault="00504387" w:rsidP="00504387">
            <w:pPr>
              <w:pStyle w:val="a4"/>
              <w:numPr>
                <w:ilvl w:val="0"/>
                <w:numId w:val="8"/>
              </w:numPr>
              <w:ind w:leftChars="0"/>
              <w:jc w:val="both"/>
              <w:rPr>
                <w:rFonts w:eastAsia="標楷體"/>
                <w:szCs w:val="20"/>
                <w:lang w:eastAsia="zh-TW"/>
              </w:rPr>
            </w:pPr>
            <w:r w:rsidRPr="008D044E">
              <w:rPr>
                <w:rFonts w:eastAsia="標楷體"/>
                <w:szCs w:val="20"/>
              </w:rPr>
              <w:t>閳述紅血球、</w:t>
            </w:r>
            <w:r w:rsidRPr="008D044E">
              <w:rPr>
                <w:rFonts w:eastAsia="標楷體"/>
                <w:szCs w:val="20"/>
                <w:lang w:val="en-US"/>
              </w:rPr>
              <w:t>顆粒性白血球</w:t>
            </w:r>
            <w:r w:rsidRPr="008D044E">
              <w:rPr>
                <w:rFonts w:eastAsia="標楷體"/>
                <w:szCs w:val="20"/>
              </w:rPr>
              <w:t>與血小板生成系統的成熟差異與其生理功能關聯。</w:t>
            </w:r>
          </w:p>
          <w:p w14:paraId="6B7E0A1B" w14:textId="1BD62BA7" w:rsidR="00860388" w:rsidRPr="008D044E" w:rsidRDefault="00860388" w:rsidP="003C0859">
            <w:pPr>
              <w:pStyle w:val="a4"/>
              <w:ind w:leftChars="0" w:left="560"/>
              <w:jc w:val="both"/>
              <w:rPr>
                <w:rFonts w:eastAsia="標楷體"/>
                <w:szCs w:val="20"/>
              </w:rPr>
            </w:pPr>
          </w:p>
          <w:p w14:paraId="59E1C1AB" w14:textId="77777777" w:rsidR="00504387" w:rsidRPr="008D044E" w:rsidRDefault="00504387" w:rsidP="00504387">
            <w:pPr>
              <w:ind w:left="200"/>
              <w:jc w:val="both"/>
              <w:rPr>
                <w:rFonts w:eastAsia="標楷體"/>
                <w:szCs w:val="20"/>
              </w:rPr>
            </w:pPr>
          </w:p>
          <w:p w14:paraId="1213ABA1" w14:textId="77777777" w:rsidR="004064CB" w:rsidRPr="008D044E" w:rsidRDefault="004064CB" w:rsidP="006305B2">
            <w:pPr>
              <w:pStyle w:val="a4"/>
              <w:numPr>
                <w:ilvl w:val="0"/>
                <w:numId w:val="1"/>
              </w:numPr>
              <w:ind w:leftChars="0" w:left="960" w:hanging="789"/>
              <w:contextualSpacing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教師教學預定流程</w:t>
            </w:r>
            <w:r w:rsidRPr="008D044E">
              <w:rPr>
                <w:rFonts w:eastAsia="標楷體"/>
                <w:szCs w:val="20"/>
                <w:lang w:eastAsia="zh-TW"/>
              </w:rPr>
              <w:t>與</w:t>
            </w:r>
            <w:r w:rsidRPr="008D044E">
              <w:rPr>
                <w:rFonts w:eastAsia="標楷體"/>
                <w:szCs w:val="20"/>
              </w:rPr>
              <w:t>教學方法</w:t>
            </w:r>
          </w:p>
          <w:p w14:paraId="5B3069E2" w14:textId="708C31F2" w:rsidR="004064CB" w:rsidRPr="008D044E" w:rsidRDefault="00D66ABA" w:rsidP="00FF5BCC">
            <w:pPr>
              <w:pStyle w:val="a4"/>
              <w:ind w:leftChars="10" w:left="24"/>
              <w:jc w:val="both"/>
              <w:rPr>
                <w:rFonts w:eastAsia="標楷體"/>
                <w:szCs w:val="20"/>
                <w:lang w:eastAsia="zh-TW"/>
              </w:rPr>
            </w:pPr>
            <w:r>
              <w:rPr>
                <w:rFonts w:ascii="標楷體" w:eastAsia="標楷體" w:hAnsi="標楷體" w:cs="Arial" w:hint="eastAsia"/>
                <w:color w:val="000000" w:themeColor="text1"/>
                <w:szCs w:val="20"/>
                <w:shd w:val="clear" w:color="auto" w:fill="FFFFFF"/>
                <w:lang w:eastAsia="zh-TW"/>
              </w:rPr>
              <w:t xml:space="preserve">     </w:t>
            </w:r>
            <w:r w:rsidR="00FF5BCC" w:rsidRPr="008D044E">
              <w:rPr>
                <w:rFonts w:ascii="標楷體" w:eastAsia="標楷體" w:hAnsi="標楷體" w:cs="Arial" w:hint="eastAsia"/>
                <w:color w:val="000000" w:themeColor="text1"/>
                <w:szCs w:val="20"/>
                <w:shd w:val="clear" w:color="auto" w:fill="FFFFFF"/>
              </w:rPr>
              <w:t>由淺入深、簡單扼要、條列、重點、邏輯</w:t>
            </w:r>
            <w:r w:rsidR="006C3A42" w:rsidRPr="008D044E">
              <w:rPr>
                <w:rFonts w:ascii="標楷體" w:eastAsia="標楷體" w:hAnsi="標楷體" w:cs="Arial" w:hint="eastAsia"/>
                <w:color w:val="000000" w:themeColor="text1"/>
                <w:szCs w:val="20"/>
                <w:shd w:val="clear" w:color="auto" w:fill="FFFFFF"/>
              </w:rPr>
              <w:t>、</w:t>
            </w:r>
            <w:r w:rsidR="006C3A42" w:rsidRPr="008D044E">
              <w:rPr>
                <w:rFonts w:ascii="標楷體" w:eastAsia="標楷體" w:hAnsi="標楷體" w:cs="Arial" w:hint="eastAsia"/>
                <w:color w:val="000000" w:themeColor="text1"/>
                <w:szCs w:val="20"/>
                <w:shd w:val="clear" w:color="auto" w:fill="FFFFFF"/>
                <w:lang w:eastAsia="zh-TW"/>
              </w:rPr>
              <w:t>問答引導</w:t>
            </w:r>
            <w:r w:rsidR="00FF5BCC" w:rsidRPr="008D044E">
              <w:rPr>
                <w:rFonts w:ascii="標楷體" w:eastAsia="標楷體" w:hAnsi="標楷體" w:cs="Arial" w:hint="eastAsia"/>
                <w:color w:val="000000" w:themeColor="text1"/>
                <w:szCs w:val="20"/>
                <w:shd w:val="clear" w:color="auto" w:fill="FFFFFF"/>
              </w:rPr>
              <w:t>與</w:t>
            </w:r>
            <w:r w:rsidR="00FF5BCC" w:rsidRPr="008D044E">
              <w:rPr>
                <w:rFonts w:ascii="標楷體" w:eastAsia="標楷體" w:hAnsi="標楷體" w:cs="Arial"/>
                <w:color w:val="000000" w:themeColor="text1"/>
                <w:szCs w:val="20"/>
                <w:shd w:val="clear" w:color="auto" w:fill="FFFFFF"/>
              </w:rPr>
              <w:t>概念構圖</w:t>
            </w:r>
            <w:r w:rsidR="00FF5BCC" w:rsidRPr="008D044E">
              <w:rPr>
                <w:rFonts w:ascii="標楷體" w:eastAsia="標楷體" w:hAnsi="標楷體" w:cs="Arial" w:hint="eastAsia"/>
                <w:color w:val="000000" w:themeColor="text1"/>
                <w:szCs w:val="20"/>
                <w:shd w:val="clear" w:color="auto" w:fill="FFFFFF"/>
              </w:rPr>
              <w:t>式</w:t>
            </w:r>
            <w:r w:rsidR="00FF5BCC" w:rsidRPr="008D044E">
              <w:rPr>
                <w:rFonts w:eastAsia="標楷體"/>
                <w:szCs w:val="20"/>
              </w:rPr>
              <w:t>教學方法</w:t>
            </w:r>
            <w:r w:rsidR="00FF5BCC" w:rsidRPr="008D044E">
              <w:rPr>
                <w:rFonts w:ascii="標楷體" w:eastAsia="標楷體" w:hAnsi="標楷體" w:hint="eastAsia"/>
                <w:szCs w:val="20"/>
              </w:rPr>
              <w:t>。</w:t>
            </w:r>
          </w:p>
          <w:p w14:paraId="32D4F559" w14:textId="77777777" w:rsidR="00E46288" w:rsidRPr="008D044E" w:rsidRDefault="00E46288" w:rsidP="00E46288">
            <w:pPr>
              <w:jc w:val="both"/>
              <w:rPr>
                <w:rFonts w:eastAsia="標楷體"/>
                <w:szCs w:val="20"/>
              </w:rPr>
            </w:pPr>
          </w:p>
          <w:p w14:paraId="7D197EDF" w14:textId="77777777" w:rsidR="004064CB" w:rsidRPr="008D044E" w:rsidRDefault="004064CB" w:rsidP="006305B2">
            <w:pPr>
              <w:pStyle w:val="a4"/>
              <w:numPr>
                <w:ilvl w:val="0"/>
                <w:numId w:val="1"/>
              </w:numPr>
              <w:ind w:leftChars="0" w:left="960" w:hanging="789"/>
              <w:contextualSpacing/>
              <w:jc w:val="both"/>
              <w:rPr>
                <w:rFonts w:eastAsia="標楷體"/>
                <w:szCs w:val="20"/>
              </w:rPr>
            </w:pPr>
            <w:bookmarkStart w:id="2" w:name="_Hlk179313586"/>
            <w:r w:rsidRPr="008D044E">
              <w:rPr>
                <w:rFonts w:eastAsia="標楷體"/>
                <w:szCs w:val="20"/>
              </w:rPr>
              <w:t>觀課重點</w:t>
            </w:r>
            <w:bookmarkEnd w:id="2"/>
            <w:r w:rsidRPr="008D044E">
              <w:rPr>
                <w:rFonts w:eastAsia="標楷體"/>
                <w:szCs w:val="20"/>
                <w:lang w:eastAsia="zh-TW"/>
              </w:rPr>
              <w:t>（請</w:t>
            </w:r>
            <w:bookmarkStart w:id="3" w:name="_Hlk179313622"/>
            <w:r w:rsidRPr="008D044E">
              <w:rPr>
                <w:rFonts w:eastAsia="標楷體"/>
                <w:szCs w:val="20"/>
                <w:lang w:eastAsia="zh-TW"/>
              </w:rPr>
              <w:t>參考「亞洲大學有效教學行為自評與反思表」列出本節課重點觀察層面或重點觀察項目</w:t>
            </w:r>
            <w:bookmarkEnd w:id="3"/>
            <w:r w:rsidRPr="008D044E">
              <w:rPr>
                <w:rFonts w:eastAsia="標楷體"/>
                <w:szCs w:val="20"/>
                <w:lang w:eastAsia="zh-TW"/>
              </w:rPr>
              <w:t>）</w:t>
            </w:r>
          </w:p>
          <w:p w14:paraId="53BF3089" w14:textId="77777777" w:rsidR="004064CB" w:rsidRPr="008D044E" w:rsidRDefault="00E24BA6" w:rsidP="009333D3">
            <w:pPr>
              <w:pStyle w:val="a4"/>
              <w:numPr>
                <w:ilvl w:val="0"/>
                <w:numId w:val="3"/>
              </w:numPr>
              <w:spacing w:line="400" w:lineRule="exact"/>
              <w:ind w:leftChars="0" w:left="850" w:hanging="357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是否明確說明本節課的學習目標，並使學生了解學習目標的具體內容和預期學習成果。</w:t>
            </w:r>
          </w:p>
          <w:p w14:paraId="58ED44D0" w14:textId="5B8068F1" w:rsidR="00E24BA6" w:rsidRPr="008D044E" w:rsidRDefault="00E24BA6" w:rsidP="009333D3">
            <w:pPr>
              <w:pStyle w:val="a4"/>
              <w:numPr>
                <w:ilvl w:val="0"/>
                <w:numId w:val="3"/>
              </w:numPr>
              <w:spacing w:line="400" w:lineRule="exact"/>
              <w:ind w:leftChars="0" w:left="850" w:hanging="357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教學內容是否有系統地組織，從</w:t>
            </w:r>
            <w:r w:rsidR="00E46288" w:rsidRPr="008D044E">
              <w:rPr>
                <w:rFonts w:eastAsia="標楷體"/>
                <w:szCs w:val="20"/>
              </w:rPr>
              <w:t>造血生長因子</w:t>
            </w:r>
            <w:r w:rsidR="00E46288" w:rsidRPr="008D044E">
              <w:rPr>
                <w:rFonts w:eastAsia="標楷體" w:hint="eastAsia"/>
                <w:szCs w:val="20"/>
              </w:rPr>
              <w:t>與血球生成</w:t>
            </w:r>
            <w:r w:rsidRPr="008D044E">
              <w:rPr>
                <w:rFonts w:eastAsia="標楷體"/>
                <w:szCs w:val="20"/>
              </w:rPr>
              <w:t>的詳細說明，過程是否</w:t>
            </w:r>
            <w:r w:rsidRPr="008D044E">
              <w:rPr>
                <w:rFonts w:eastAsia="標楷體"/>
                <w:szCs w:val="20"/>
              </w:rPr>
              <w:lastRenderedPageBreak/>
              <w:t>邏輯清晰、層次分明。</w:t>
            </w:r>
          </w:p>
          <w:p w14:paraId="1ED71A48" w14:textId="7FFD9068" w:rsidR="00E24BA6" w:rsidRPr="008D044E" w:rsidRDefault="00E24BA6" w:rsidP="009333D3">
            <w:pPr>
              <w:pStyle w:val="a4"/>
              <w:numPr>
                <w:ilvl w:val="0"/>
                <w:numId w:val="3"/>
              </w:numPr>
              <w:spacing w:line="400" w:lineRule="exact"/>
              <w:ind w:leftChars="0" w:left="850" w:hanging="357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是否以循序漸進的方式引導學生深入理解</w:t>
            </w:r>
            <w:r w:rsidR="00E46288" w:rsidRPr="008D044E">
              <w:rPr>
                <w:rFonts w:eastAsia="標楷體"/>
                <w:szCs w:val="20"/>
              </w:rPr>
              <w:t>造血生長因子</w:t>
            </w:r>
            <w:r w:rsidR="00E46288" w:rsidRPr="008D044E">
              <w:rPr>
                <w:rFonts w:eastAsia="標楷體" w:hint="eastAsia"/>
                <w:szCs w:val="20"/>
              </w:rPr>
              <w:t>與血球生成</w:t>
            </w:r>
            <w:r w:rsidRPr="008D044E">
              <w:rPr>
                <w:rFonts w:eastAsia="標楷體"/>
                <w:szCs w:val="20"/>
              </w:rPr>
              <w:t>的核心概念。</w:t>
            </w:r>
          </w:p>
          <w:p w14:paraId="55B22285" w14:textId="3D99E2D6" w:rsidR="00E24BA6" w:rsidRPr="008D044E" w:rsidRDefault="00E24BA6" w:rsidP="009333D3">
            <w:pPr>
              <w:pStyle w:val="a4"/>
              <w:numPr>
                <w:ilvl w:val="0"/>
                <w:numId w:val="3"/>
              </w:numPr>
              <w:spacing w:line="400" w:lineRule="exact"/>
              <w:ind w:leftChars="0" w:left="850" w:hanging="357"/>
              <w:jc w:val="both"/>
              <w:rPr>
                <w:rFonts w:eastAsia="標楷體"/>
                <w:szCs w:val="20"/>
              </w:rPr>
            </w:pPr>
            <w:r w:rsidRPr="008D044E">
              <w:rPr>
                <w:rFonts w:eastAsia="標楷體"/>
                <w:szCs w:val="20"/>
              </w:rPr>
              <w:t>是否善用教學輔具（如</w:t>
            </w:r>
            <w:r w:rsidRPr="008D044E">
              <w:rPr>
                <w:rFonts w:eastAsia="標楷體"/>
                <w:szCs w:val="20"/>
              </w:rPr>
              <w:t>PPT</w:t>
            </w:r>
            <w:r w:rsidRPr="008D044E">
              <w:rPr>
                <w:rFonts w:eastAsia="標楷體"/>
                <w:szCs w:val="20"/>
              </w:rPr>
              <w:t>、教學圖表等），來增強學生對複雜概念的理解。</w:t>
            </w:r>
          </w:p>
          <w:p w14:paraId="61A1E0FC" w14:textId="076F50A1" w:rsidR="00E24BA6" w:rsidRPr="00E24BA6" w:rsidRDefault="00E24BA6" w:rsidP="009333D3">
            <w:pPr>
              <w:pStyle w:val="a4"/>
              <w:numPr>
                <w:ilvl w:val="0"/>
                <w:numId w:val="3"/>
              </w:numPr>
              <w:spacing w:line="400" w:lineRule="exact"/>
              <w:ind w:leftChars="0" w:left="850" w:hanging="357"/>
              <w:jc w:val="both"/>
              <w:rPr>
                <w:rFonts w:eastAsia="標楷體"/>
              </w:rPr>
            </w:pPr>
            <w:r w:rsidRPr="008D044E">
              <w:rPr>
                <w:rFonts w:eastAsia="標楷體"/>
                <w:szCs w:val="20"/>
              </w:rPr>
              <w:t>教師是否透過提問，促使學生思考</w:t>
            </w:r>
            <w:r w:rsidR="00E46288" w:rsidRPr="008D044E">
              <w:rPr>
                <w:rFonts w:eastAsia="標楷體"/>
                <w:szCs w:val="20"/>
              </w:rPr>
              <w:t>造血生長因子</w:t>
            </w:r>
            <w:r w:rsidR="00E46288" w:rsidRPr="008D044E">
              <w:rPr>
                <w:rFonts w:eastAsia="標楷體" w:hint="eastAsia"/>
                <w:szCs w:val="20"/>
              </w:rPr>
              <w:t>與</w:t>
            </w:r>
            <w:r w:rsidRPr="008D044E">
              <w:rPr>
                <w:rFonts w:eastAsia="標楷體"/>
                <w:szCs w:val="20"/>
              </w:rPr>
              <w:t>臨床情境中的應用，如</w:t>
            </w:r>
            <w:r w:rsidR="00E46288" w:rsidRPr="008D044E">
              <w:rPr>
                <w:rFonts w:eastAsia="標楷體" w:hint="eastAsia"/>
                <w:szCs w:val="20"/>
                <w:lang w:eastAsia="zh-TW"/>
              </w:rPr>
              <w:t>貧血治療</w:t>
            </w:r>
            <w:r w:rsidRPr="008D044E">
              <w:rPr>
                <w:rFonts w:eastAsia="標楷體"/>
                <w:szCs w:val="20"/>
              </w:rPr>
              <w:t>。</w:t>
            </w:r>
          </w:p>
        </w:tc>
      </w:tr>
    </w:tbl>
    <w:p w14:paraId="3E1341E6" w14:textId="77777777" w:rsidR="00955C10" w:rsidRPr="004064CB" w:rsidRDefault="00955C10"/>
    <w:sectPr w:rsidR="00955C10" w:rsidRPr="004064C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2A4F2" w14:textId="77777777" w:rsidR="00ED1A88" w:rsidRDefault="00ED1A88" w:rsidP="00ED1A88">
      <w:r>
        <w:separator/>
      </w:r>
    </w:p>
  </w:endnote>
  <w:endnote w:type="continuationSeparator" w:id="0">
    <w:p w14:paraId="3995BEEA" w14:textId="77777777" w:rsidR="00ED1A88" w:rsidRDefault="00ED1A88" w:rsidP="00ED1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標楷體-繁">
    <w:altName w:val="標楷體"/>
    <w:charset w:val="88"/>
    <w:family w:val="script"/>
    <w:pitch w:val="variable"/>
    <w:sig w:usb0="800000E3" w:usb1="38CFFD7A" w:usb2="00000016" w:usb3="00000000" w:csb0="0010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C2BC3" w14:textId="77777777" w:rsidR="00ED1A88" w:rsidRDefault="00ED1A88" w:rsidP="00ED1A88">
      <w:r>
        <w:separator/>
      </w:r>
    </w:p>
  </w:footnote>
  <w:footnote w:type="continuationSeparator" w:id="0">
    <w:p w14:paraId="562222EE" w14:textId="77777777" w:rsidR="00ED1A88" w:rsidRDefault="00ED1A88" w:rsidP="00ED1A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F4F58"/>
    <w:multiLevelType w:val="multilevel"/>
    <w:tmpl w:val="3294C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7D74D3"/>
    <w:multiLevelType w:val="hybridMultilevel"/>
    <w:tmpl w:val="21A07862"/>
    <w:lvl w:ilvl="0" w:tplc="F670ED02">
      <w:start w:val="1"/>
      <w:numFmt w:val="lowerLetter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" w15:restartNumberingAfterBreak="0">
    <w:nsid w:val="23AF2C3F"/>
    <w:multiLevelType w:val="hybridMultilevel"/>
    <w:tmpl w:val="D2B03AF8"/>
    <w:lvl w:ilvl="0" w:tplc="CFCA23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7C95463"/>
    <w:multiLevelType w:val="multilevel"/>
    <w:tmpl w:val="472CB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0E21C7"/>
    <w:multiLevelType w:val="hybridMultilevel"/>
    <w:tmpl w:val="42F06D70"/>
    <w:lvl w:ilvl="0" w:tplc="AE02F64C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55" w:hanging="480"/>
      </w:pPr>
    </w:lvl>
    <w:lvl w:ilvl="2" w:tplc="0409001B" w:tentative="1">
      <w:start w:val="1"/>
      <w:numFmt w:val="lowerRoman"/>
      <w:lvlText w:val="%3."/>
      <w:lvlJc w:val="right"/>
      <w:pPr>
        <w:ind w:left="1935" w:hanging="480"/>
      </w:pPr>
    </w:lvl>
    <w:lvl w:ilvl="3" w:tplc="0409000F" w:tentative="1">
      <w:start w:val="1"/>
      <w:numFmt w:val="decimal"/>
      <w:lvlText w:val="%4."/>
      <w:lvlJc w:val="left"/>
      <w:pPr>
        <w:ind w:left="24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5" w:hanging="480"/>
      </w:pPr>
    </w:lvl>
    <w:lvl w:ilvl="5" w:tplc="0409001B" w:tentative="1">
      <w:start w:val="1"/>
      <w:numFmt w:val="lowerRoman"/>
      <w:lvlText w:val="%6."/>
      <w:lvlJc w:val="right"/>
      <w:pPr>
        <w:ind w:left="3375" w:hanging="480"/>
      </w:pPr>
    </w:lvl>
    <w:lvl w:ilvl="6" w:tplc="0409000F" w:tentative="1">
      <w:start w:val="1"/>
      <w:numFmt w:val="decimal"/>
      <w:lvlText w:val="%7."/>
      <w:lvlJc w:val="left"/>
      <w:pPr>
        <w:ind w:left="38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5" w:hanging="480"/>
      </w:pPr>
    </w:lvl>
    <w:lvl w:ilvl="8" w:tplc="0409001B" w:tentative="1">
      <w:start w:val="1"/>
      <w:numFmt w:val="lowerRoman"/>
      <w:lvlText w:val="%9."/>
      <w:lvlJc w:val="right"/>
      <w:pPr>
        <w:ind w:left="4815" w:hanging="480"/>
      </w:pPr>
    </w:lvl>
  </w:abstractNum>
  <w:abstractNum w:abstractNumId="5" w15:restartNumberingAfterBreak="0">
    <w:nsid w:val="5B0B7F97"/>
    <w:multiLevelType w:val="hybridMultilevel"/>
    <w:tmpl w:val="8A16E2DA"/>
    <w:lvl w:ilvl="0" w:tplc="F5600FE8">
      <w:start w:val="1"/>
      <w:numFmt w:val="decimal"/>
      <w:lvlText w:val="%1."/>
      <w:lvlJc w:val="left"/>
      <w:pPr>
        <w:ind w:left="560" w:hanging="360"/>
      </w:pPr>
      <w:rPr>
        <w:rFonts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6" w15:restartNumberingAfterBreak="0">
    <w:nsid w:val="5DA25426"/>
    <w:multiLevelType w:val="hybridMultilevel"/>
    <w:tmpl w:val="4274EC80"/>
    <w:lvl w:ilvl="0" w:tplc="F9A6D94E">
      <w:start w:val="1"/>
      <w:numFmt w:val="lowerLetter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640676F7"/>
    <w:multiLevelType w:val="hybridMultilevel"/>
    <w:tmpl w:val="8B5A7B8E"/>
    <w:lvl w:ilvl="0" w:tplc="C66EEB5A">
      <w:start w:val="1"/>
      <w:numFmt w:val="decimal"/>
      <w:lvlText w:val="(%1)"/>
      <w:lvlJc w:val="left"/>
      <w:pPr>
        <w:ind w:left="960" w:hanging="4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4CB"/>
    <w:rsid w:val="003C0859"/>
    <w:rsid w:val="004064CB"/>
    <w:rsid w:val="004C363D"/>
    <w:rsid w:val="00504387"/>
    <w:rsid w:val="006C3A42"/>
    <w:rsid w:val="007B7D78"/>
    <w:rsid w:val="007C4CD1"/>
    <w:rsid w:val="00860388"/>
    <w:rsid w:val="008D044E"/>
    <w:rsid w:val="009333D3"/>
    <w:rsid w:val="00955C10"/>
    <w:rsid w:val="00A9745B"/>
    <w:rsid w:val="00B453EC"/>
    <w:rsid w:val="00C41E38"/>
    <w:rsid w:val="00D66ABA"/>
    <w:rsid w:val="00E24BA6"/>
    <w:rsid w:val="00E46288"/>
    <w:rsid w:val="00ED1A88"/>
    <w:rsid w:val="00FF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66A3378"/>
  <w15:chartTrackingRefBased/>
  <w15:docId w15:val="{5A92B770-E281-4918-B0FD-55288F5B5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4C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064C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aliases w:val="卑南壹,標1,(一),(1)(1)(1)(1)(1)(1)(1)(1),網推會說明清單,附錄1,1.2.3.,壹_二階,List Paragraph1,12 20,標11,標12,標題 (4),1.1.1.1清單段落,列點,(二),貿易局(一),Recommendation,Footnote Sam,List Paragraph (numbered (a)),Text,Noise heading,RUS List,Rec para,Dot pt,Noise h,List Paragraph"/>
    <w:basedOn w:val="a"/>
    <w:link w:val="a5"/>
    <w:uiPriority w:val="34"/>
    <w:qFormat/>
    <w:rsid w:val="004064CB"/>
    <w:pPr>
      <w:ind w:leftChars="200" w:left="480"/>
    </w:pPr>
    <w:rPr>
      <w:kern w:val="0"/>
      <w:sz w:val="20"/>
      <w:lang w:val="x-none" w:eastAsia="x-none"/>
    </w:rPr>
  </w:style>
  <w:style w:type="character" w:customStyle="1" w:styleId="a5">
    <w:name w:val="清單段落 字元"/>
    <w:aliases w:val="卑南壹 字元,標1 字元,(一) 字元,(1)(1)(1)(1)(1)(1)(1)(1) 字元,網推會說明清單 字元,附錄1 字元,1.2.3. 字元,壹_二階 字元,List Paragraph1 字元,12 20 字元,標11 字元,標12 字元,標題 (4) 字元,1.1.1.1清單段落 字元,列點 字元,(二) 字元,貿易局(一) 字元,Recommendation 字元,Footnote Sam 字元,List Paragraph (numbered (a)) 字元"/>
    <w:link w:val="a4"/>
    <w:uiPriority w:val="34"/>
    <w:qFormat/>
    <w:locked/>
    <w:rsid w:val="004064CB"/>
    <w:rPr>
      <w:rFonts w:ascii="Times New Roman" w:eastAsia="新細明體" w:hAnsi="Times New Roman" w:cs="Times New Roman"/>
      <w:kern w:val="0"/>
      <w:sz w:val="20"/>
      <w:szCs w:val="24"/>
      <w:lang w:val="x-none" w:eastAsia="x-none"/>
    </w:rPr>
  </w:style>
  <w:style w:type="paragraph" w:styleId="Web">
    <w:name w:val="Normal (Web)"/>
    <w:basedOn w:val="a"/>
    <w:uiPriority w:val="99"/>
    <w:unhideWhenUsed/>
    <w:rsid w:val="009333D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6">
    <w:name w:val="Strong"/>
    <w:basedOn w:val="a0"/>
    <w:uiPriority w:val="22"/>
    <w:qFormat/>
    <w:rsid w:val="009333D3"/>
    <w:rPr>
      <w:b/>
      <w:bCs/>
    </w:rPr>
  </w:style>
  <w:style w:type="paragraph" w:styleId="a7">
    <w:name w:val="header"/>
    <w:basedOn w:val="a"/>
    <w:link w:val="a8"/>
    <w:uiPriority w:val="99"/>
    <w:unhideWhenUsed/>
    <w:rsid w:val="00ED1A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ED1A88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D1A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D1A88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李汎庭</dc:creator>
  <cp:keywords/>
  <dc:description/>
  <cp:lastModifiedBy>陳世順</cp:lastModifiedBy>
  <cp:revision>16</cp:revision>
  <dcterms:created xsi:type="dcterms:W3CDTF">2024-09-30T08:10:00Z</dcterms:created>
  <dcterms:modified xsi:type="dcterms:W3CDTF">2026-02-23T07:32:00Z</dcterms:modified>
</cp:coreProperties>
</file>